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17" w:rsidRDefault="00407517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407517" w:rsidRDefault="00407517">
      <w:pPr>
        <w:pStyle w:val="ConsPlusTitle"/>
        <w:jc w:val="both"/>
      </w:pPr>
    </w:p>
    <w:p w:rsidR="00407517" w:rsidRDefault="00407517">
      <w:pPr>
        <w:pStyle w:val="ConsPlusTitle"/>
        <w:jc w:val="center"/>
      </w:pPr>
      <w:r>
        <w:t>ПРИКАЗ</w:t>
      </w:r>
    </w:p>
    <w:p w:rsidR="00407517" w:rsidRDefault="00407517">
      <w:pPr>
        <w:pStyle w:val="ConsPlusTitle"/>
        <w:jc w:val="center"/>
      </w:pPr>
      <w:r>
        <w:t>от 5 февраля 2019 г. N 133/19</w:t>
      </w:r>
    </w:p>
    <w:p w:rsidR="00407517" w:rsidRDefault="00407517">
      <w:pPr>
        <w:pStyle w:val="ConsPlusTitle"/>
        <w:jc w:val="both"/>
      </w:pPr>
    </w:p>
    <w:p w:rsidR="00407517" w:rsidRDefault="00407517">
      <w:pPr>
        <w:pStyle w:val="ConsPlusTitle"/>
        <w:jc w:val="center"/>
      </w:pPr>
      <w:r>
        <w:t>ОБ УТВЕРЖДЕНИИ МЕТОДИКИ</w:t>
      </w:r>
    </w:p>
    <w:p w:rsidR="00407517" w:rsidRDefault="00407517">
      <w:pPr>
        <w:pStyle w:val="ConsPlusTitle"/>
        <w:jc w:val="center"/>
      </w:pPr>
      <w:r>
        <w:t>РАСЧЕТА КЛЮЧЕВЫХ ПОКАЗАТЕЛЕЙ ЭФФЕКТИВНОСТИ ФУНКЦИОНИРОВАНИЯ</w:t>
      </w:r>
    </w:p>
    <w:p w:rsidR="00407517" w:rsidRDefault="00407517">
      <w:pPr>
        <w:pStyle w:val="ConsPlusTitle"/>
        <w:jc w:val="center"/>
      </w:pPr>
      <w:r>
        <w:t>В ФЕДЕРАЛЬНОМ ОРГАНЕ ИСПОЛНИТЕЛЬНОЙ ВЛАСТИ</w:t>
      </w:r>
    </w:p>
    <w:p w:rsidR="00407517" w:rsidRDefault="00407517">
      <w:pPr>
        <w:pStyle w:val="ConsPlusTitle"/>
        <w:jc w:val="center"/>
      </w:pPr>
      <w:r>
        <w:t>АНТИМОНОПОЛЬНОГО КОМПЛАЕНСА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29</w:t>
        </w:r>
      </w:hyperlink>
      <w:r>
        <w:t xml:space="preserve"> распоряжения Правительства Российской Федерации от 18 октября 2018 года N 2258-р, приказываю: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 w:history="1">
        <w:r>
          <w:rPr>
            <w:color w:val="0000FF"/>
          </w:rPr>
          <w:t>Методику</w:t>
        </w:r>
      </w:hyperlink>
      <w: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в соответствии с приложением N 1 к настоящему приказу.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2. Контроль исполнения настоящего приказа оставляю за собой.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right"/>
      </w:pPr>
      <w:r>
        <w:t>Руководитель</w:t>
      </w:r>
    </w:p>
    <w:p w:rsidR="00407517" w:rsidRDefault="00407517">
      <w:pPr>
        <w:pStyle w:val="ConsPlusNormal"/>
        <w:jc w:val="right"/>
      </w:pPr>
      <w:r>
        <w:t>И.Ю.АРТЕМЬЕВ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right"/>
        <w:outlineLvl w:val="0"/>
      </w:pPr>
      <w:r>
        <w:t>Приложение N 1</w:t>
      </w:r>
    </w:p>
    <w:p w:rsidR="00407517" w:rsidRDefault="00407517">
      <w:pPr>
        <w:pStyle w:val="ConsPlusNormal"/>
        <w:jc w:val="right"/>
      </w:pPr>
      <w:r>
        <w:t>к приказу ФАС России</w:t>
      </w:r>
    </w:p>
    <w:p w:rsidR="00407517" w:rsidRDefault="00407517">
      <w:pPr>
        <w:pStyle w:val="ConsPlusNormal"/>
        <w:jc w:val="right"/>
      </w:pPr>
      <w:r>
        <w:t>от 05.02.2019 N 133/19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Title"/>
        <w:jc w:val="center"/>
      </w:pPr>
      <w:bookmarkStart w:id="0" w:name="P26"/>
      <w:bookmarkEnd w:id="0"/>
      <w:r>
        <w:t>МЕТОДИКА</w:t>
      </w:r>
    </w:p>
    <w:p w:rsidR="00407517" w:rsidRDefault="00407517">
      <w:pPr>
        <w:pStyle w:val="ConsPlusTitle"/>
        <w:jc w:val="center"/>
      </w:pPr>
      <w:r>
        <w:t>РАСЧЕТА КЛЮЧЕВЫХ ПОКАЗАТЕЛЕЙ ЭФФЕКТИВНОСТИ ФУНКЦИОНИРОВАНИЯ</w:t>
      </w:r>
    </w:p>
    <w:p w:rsidR="00407517" w:rsidRDefault="00407517">
      <w:pPr>
        <w:pStyle w:val="ConsPlusTitle"/>
        <w:jc w:val="center"/>
      </w:pPr>
      <w:r>
        <w:t>В ФЕДЕРАЛЬНОМ ОРГАНЕ ИСПОЛНИТЕЛЬНОЙ ВЛАСТИ</w:t>
      </w:r>
    </w:p>
    <w:p w:rsidR="00407517" w:rsidRDefault="00407517">
      <w:pPr>
        <w:pStyle w:val="ConsPlusTitle"/>
        <w:jc w:val="center"/>
      </w:pPr>
      <w:r>
        <w:t>АНТИМОНОПОЛЬНОГО КОМПЛАЕНСА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Title"/>
        <w:jc w:val="center"/>
        <w:outlineLvl w:val="1"/>
      </w:pPr>
      <w:r>
        <w:t>I. Общие положения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Методика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(далее - Методика) разработана ФАС России в соответствии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18.10.2018 N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 (далее - Методические рекомендации).</w:t>
      </w:r>
      <w:proofErr w:type="gramEnd"/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2. В целях оценки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в соответствии с Методикой рассчитываются ключевые показатели эффективности антимонопольного </w:t>
      </w:r>
      <w:proofErr w:type="spellStart"/>
      <w:r>
        <w:t>комплаенса</w:t>
      </w:r>
      <w:proofErr w:type="spellEnd"/>
      <w:r>
        <w:t xml:space="preserve"> (далее - КПЭ) как для уполномоченного подразделения (должностного лица), так и для федерального органа исполнительной власти в целом.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Title"/>
        <w:jc w:val="center"/>
        <w:outlineLvl w:val="1"/>
      </w:pPr>
      <w:r>
        <w:t>II. Методика расчета КПЭ для федерального органа</w:t>
      </w:r>
    </w:p>
    <w:p w:rsidR="00407517" w:rsidRDefault="00407517">
      <w:pPr>
        <w:pStyle w:val="ConsPlusTitle"/>
        <w:jc w:val="center"/>
      </w:pPr>
      <w:r>
        <w:t>исполнительной власти в целом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Ключевыми показателями эффективности антимонопольного </w:t>
      </w:r>
      <w:proofErr w:type="spellStart"/>
      <w:r>
        <w:t>комплаенса</w:t>
      </w:r>
      <w:proofErr w:type="spellEnd"/>
      <w:r>
        <w:t xml:space="preserve"> для </w:t>
      </w:r>
      <w:r>
        <w:lastRenderedPageBreak/>
        <w:t>федерального органа исполнительной власти в целом являются:</w:t>
      </w:r>
      <w:proofErr w:type="gramEnd"/>
    </w:p>
    <w:p w:rsidR="00407517" w:rsidRDefault="00407517">
      <w:pPr>
        <w:pStyle w:val="ConsPlusNormal"/>
        <w:spacing w:before="220"/>
        <w:ind w:firstLine="540"/>
        <w:jc w:val="both"/>
      </w:pPr>
      <w:r>
        <w:t>а) коэффициент снижения количества нарушений антимонопольного законодательства со стороны федерального органа исполнительной власти (по сравнению с 2017 годом);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б) доля проектов нормативных правовых актов федерального органа исполнительной власти, в которых выявлены риски нарушения антимонопольного законодательства;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в) доля нормативных правовых актов федерального органа исполнительной власти, в которых выявлены риски нарушения антимонопольного законодательства.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4. Коэффициент снижения количества нарушений антимонопольного законодательства со стороны федерального органа исполнительной власти (по сравнению с 2017 годом) рассчитывается по формуле: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 w:rsidRPr="00BF18A7">
        <w:rPr>
          <w:position w:val="-22"/>
        </w:rPr>
        <w:pict>
          <v:shape id="_x0000_i1025" style="width:83.25pt;height:33.8pt" coordsize="" o:spt="100" adj="0,,0" path="" filled="f" stroked="f">
            <v:stroke joinstyle="miter"/>
            <v:imagedata r:id="rId6" o:title="base_1_317658_32768"/>
            <v:formulas/>
            <v:path o:connecttype="segments"/>
          </v:shape>
        </w:pict>
      </w:r>
      <w:r>
        <w:t>, где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>КСН - коэффициент снижения количества нарушений антимонопольного законодательства со стороны федерального органа исполнительной власти по сравнению с 2017 годом;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КН</w:t>
      </w:r>
      <w:r>
        <w:rPr>
          <w:vertAlign w:val="subscript"/>
        </w:rPr>
        <w:t>2017</w:t>
      </w:r>
      <w:r>
        <w:t xml:space="preserve"> - количество нарушений антимонопольного законодательства со стороны федерального органа исполнительной власти в 2017 году;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КНоп</w:t>
      </w:r>
      <w:proofErr w:type="spellEnd"/>
      <w:r>
        <w:t xml:space="preserve"> - количество нарушений антимонопольного законодательства со стороны органа государственной власти в отчетном периоде.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При расчете </w:t>
      </w:r>
      <w:proofErr w:type="gramStart"/>
      <w:r>
        <w:t>коэффициента снижения количества нарушений антимонопольного законодательства</w:t>
      </w:r>
      <w:proofErr w:type="gramEnd"/>
      <w:r>
        <w:t xml:space="preserve"> со стороны федерального органа исполнительной власти под нарушением антимонопольного законодательства со стороны федерального органа исполнительной власти понимаются: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- возбужденные антимонопольным органом в отношении федерального органа исполнительной власти антимонопольные дела;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- выданные антимонопольным органом федеральному органу исполнительной власти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- направленные антимонопольным органом федеральному органу исполнительной власти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>5. Доля проектов нормативных правовых актов федерального органа исполнительной власти, в которых выявлены риски нарушения антимонопольного законодательства, рассчитывается по формуле: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 w:rsidRPr="00BF18A7">
        <w:rPr>
          <w:position w:val="-22"/>
        </w:rPr>
        <w:pict>
          <v:shape id="_x0000_i1026" style="width:92.65pt;height:33.8pt" coordsize="" o:spt="100" adj="0,,0" path="" filled="f" stroked="f">
            <v:stroke joinstyle="miter"/>
            <v:imagedata r:id="rId7" o:title="base_1_317658_32769"/>
            <v:formulas/>
            <v:path o:connecttype="segments"/>
          </v:shape>
        </w:pict>
      </w:r>
      <w:r>
        <w:t>, где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proofErr w:type="spellStart"/>
      <w:r>
        <w:t>Дпнпа</w:t>
      </w:r>
      <w:proofErr w:type="spellEnd"/>
      <w:r>
        <w:t xml:space="preserve"> - доля проектов нормативных правовых актов федерального органа исполнительной власти, в которых выявлены риски нарушения антимонопольного законодательства;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lastRenderedPageBreak/>
        <w:t>Кпнпа</w:t>
      </w:r>
      <w:proofErr w:type="spellEnd"/>
      <w:r>
        <w:t xml:space="preserve"> - количество проектов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КНоп</w:t>
      </w:r>
      <w:proofErr w:type="spellEnd"/>
      <w:r>
        <w:t xml:space="preserve"> - количество нормативных правовых актов федерального органа исполнительной власти, в которых антимонопольным органом выявлены нарушения антимонопольного законодательства (в отчетном периоде).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6. Доля нормативных правовых актов федерального органа исполнительной власти, в которых выявлены риски нарушения </w:t>
      </w:r>
      <w:proofErr w:type="gramStart"/>
      <w:r>
        <w:t>антимонопольного</w:t>
      </w:r>
      <w:proofErr w:type="gramEnd"/>
      <w:r>
        <w:t xml:space="preserve"> законодательства, рассчитывается по формуле: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 w:rsidRPr="00BF18A7">
        <w:rPr>
          <w:position w:val="-22"/>
        </w:rPr>
        <w:pict>
          <v:shape id="_x0000_i1027" style="width:81.4pt;height:33.8pt" coordsize="" o:spt="100" adj="0,,0" path="" filled="f" stroked="f">
            <v:stroke joinstyle="miter"/>
            <v:imagedata r:id="rId8" o:title="base_1_317658_32770"/>
            <v:formulas/>
            <v:path o:connecttype="segments"/>
          </v:shape>
        </w:pict>
      </w:r>
      <w:r>
        <w:t>, где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proofErr w:type="spellStart"/>
      <w:r>
        <w:t>Днпа</w:t>
      </w:r>
      <w:proofErr w:type="spellEnd"/>
      <w:r>
        <w:t xml:space="preserve"> - доля нормативных правовых актов федерального органа исполнительной власти, в которых выявлены риски нарушения антимонопольного законодательства;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Кпнпа</w:t>
      </w:r>
      <w:proofErr w:type="spellEnd"/>
      <w:r>
        <w:t xml:space="preserve"> - количество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КНоп</w:t>
      </w:r>
      <w:proofErr w:type="spellEnd"/>
      <w:r>
        <w:t xml:space="preserve"> - количество нормативных правовых актов федерального органа исполнительной власти, в которых антимонопольным органом выявлены нарушения антимонопольного законодательства (в отчетном периоде).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Title"/>
        <w:jc w:val="center"/>
        <w:outlineLvl w:val="1"/>
      </w:pPr>
      <w:r>
        <w:t>III. Методика расчета ключевых показателей</w:t>
      </w:r>
    </w:p>
    <w:p w:rsidR="00407517" w:rsidRDefault="00407517">
      <w:pPr>
        <w:pStyle w:val="ConsPlusTitle"/>
        <w:jc w:val="center"/>
      </w:pPr>
      <w:r>
        <w:t xml:space="preserve">эффективности функционирования антимонопольного </w:t>
      </w:r>
      <w:proofErr w:type="spellStart"/>
      <w:r>
        <w:t>комплаенса</w:t>
      </w:r>
      <w:proofErr w:type="spellEnd"/>
    </w:p>
    <w:p w:rsidR="00407517" w:rsidRDefault="00407517">
      <w:pPr>
        <w:pStyle w:val="ConsPlusTitle"/>
        <w:jc w:val="center"/>
      </w:pPr>
      <w:r>
        <w:t>для уполномоченного подразделения (должностного лица)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 xml:space="preserve">7. Для уполномоченного подразделения (должностного лица) рассчитываются </w:t>
      </w:r>
      <w:proofErr w:type="gramStart"/>
      <w:r>
        <w:t>следующий</w:t>
      </w:r>
      <w:proofErr w:type="gramEnd"/>
      <w:r>
        <w:t xml:space="preserve"> КПЭ: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доля сотрудников федерального органа исполнительной власти,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8. Доля сотрудников федерального органа исполнительной власти,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, рассчитывается по формуле: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 w:rsidRPr="00BF18A7">
        <w:rPr>
          <w:position w:val="-24"/>
        </w:rPr>
        <w:pict>
          <v:shape id="_x0000_i1028" style="width:85.75pt;height:35.7pt" coordsize="" o:spt="100" adj="0,,0" path="" filled="f" stroked="f">
            <v:stroke joinstyle="miter"/>
            <v:imagedata r:id="rId9" o:title="base_1_317658_32771"/>
            <v:formulas/>
            <v:path o:connecttype="segments"/>
          </v:shape>
        </w:pict>
      </w:r>
      <w:r>
        <w:t>, где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proofErr w:type="spellStart"/>
      <w:r>
        <w:t>ДСо</w:t>
      </w:r>
      <w:proofErr w:type="spellEnd"/>
      <w:r>
        <w:t xml:space="preserve"> - доля сотрудников федерального органа исполнительной власти,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КСо</w:t>
      </w:r>
      <w:proofErr w:type="spellEnd"/>
      <w:r>
        <w:t xml:space="preserve"> - количество сотрудников федерального органа исполнительной власти,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spellStart"/>
      <w:r>
        <w:t>КСобщ</w:t>
      </w:r>
      <w:proofErr w:type="spellEnd"/>
      <w:r>
        <w:t xml:space="preserve"> - общее количество сотрудников федерального органа исполнительной власти, чьи трудовые (должностные) обязанности предусматривают выполнение функций, связанных с </w:t>
      </w:r>
      <w:r>
        <w:lastRenderedPageBreak/>
        <w:t>рисками нарушения антимонопольного законодательства.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Title"/>
        <w:jc w:val="center"/>
        <w:outlineLvl w:val="1"/>
      </w:pPr>
      <w:r>
        <w:t>IV. Оценка значений КПЭ для федерального органа</w:t>
      </w:r>
    </w:p>
    <w:p w:rsidR="00407517" w:rsidRDefault="00407517">
      <w:pPr>
        <w:pStyle w:val="ConsPlusTitle"/>
        <w:jc w:val="center"/>
      </w:pPr>
      <w:r>
        <w:t>исполнительной власти в целом и КПЭ для уполномоченного</w:t>
      </w:r>
    </w:p>
    <w:p w:rsidR="00407517" w:rsidRDefault="00407517">
      <w:pPr>
        <w:pStyle w:val="ConsPlusTitle"/>
        <w:jc w:val="center"/>
      </w:pPr>
      <w:r>
        <w:t>подразделения (должностного лица)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ind w:firstLine="540"/>
        <w:jc w:val="both"/>
      </w:pPr>
      <w:r>
        <w:t>9. Оценка значений КПЭ "коэффициент снижения количества нарушений антимонопольного законодательства со стороны федерального органа исполнительной власти (по сравнению с 2017 годом)".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gramStart"/>
      <w:r>
        <w:t xml:space="preserve">Ключевой показатель "коэффициент снижения количества нарушений антимонопольного законодательства со стороны федерального органа исполнительной власти (по сравнению с 2017 годом)" </w:t>
      </w:r>
      <w:proofErr w:type="spellStart"/>
      <w:r>
        <w:t>коррелирует</w:t>
      </w:r>
      <w:proofErr w:type="spellEnd"/>
      <w:r>
        <w:t xml:space="preserve"> с ключевым показателем мероприятий, предусмотренным </w:t>
      </w:r>
      <w:hyperlink r:id="rId10" w:history="1">
        <w:r>
          <w:rPr>
            <w:color w:val="0000FF"/>
          </w:rPr>
          <w:t>подпунктом "б" пункта 1</w:t>
        </w:r>
      </w:hyperlink>
      <w:r>
        <w:t xml:space="preserve"> Национального плана развития конкуренции в Российской Федерации на 2018 - 2020 годы (далее - Национальный план), утвержденным Указом Президента РФ от 21.12.2017 N 618 "Об основных направлениях государственной политики по развитию конкуренции", а</w:t>
      </w:r>
      <w:proofErr w:type="gramEnd"/>
      <w:r>
        <w:t xml:space="preserve"> именно: "снижение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годом".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gramStart"/>
      <w:r>
        <w:t xml:space="preserve">Ежегодная оценка значения КПЭ "коэффициент снижения количества нарушений антимонопольного законодательства со стороны федерального органа исполнительной власти (по сравнению с 2017 годом)" призвана обеспечить понимание об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 и о соответствии мероприятий антимонопольного </w:t>
      </w:r>
      <w:proofErr w:type="spellStart"/>
      <w:r>
        <w:t>комплаенса</w:t>
      </w:r>
      <w:proofErr w:type="spellEnd"/>
      <w:r>
        <w:t xml:space="preserve"> федерального органа исполнительной власти направлениям совершенствования государственной политики по развитию конкуренции, установленных Национальным </w:t>
      </w:r>
      <w:hyperlink r:id="rId11" w:history="1">
        <w:r>
          <w:rPr>
            <w:color w:val="0000FF"/>
          </w:rPr>
          <w:t>планом</w:t>
        </w:r>
      </w:hyperlink>
      <w:r>
        <w:t>.</w:t>
      </w:r>
      <w:proofErr w:type="gramEnd"/>
    </w:p>
    <w:p w:rsidR="00407517" w:rsidRDefault="00407517">
      <w:pPr>
        <w:pStyle w:val="ConsPlusNormal"/>
        <w:spacing w:before="220"/>
        <w:ind w:firstLine="540"/>
        <w:jc w:val="both"/>
      </w:pPr>
      <w:r>
        <w:t>10. Оценка значений КПЭ "доля проектов нормативных правовых актов федерального органа исполнительной власти, в которых выявлены риски нарушения антимонопольного законодательства" и "доля нормативных правовых актов федерального органа исполнительной власти, в которых выявлены риски нарушения антимонопольного законодательства".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Оценка вышеуказанных значений КПЭ направлена на понимание эффективности мероприятий антимонопольного </w:t>
      </w:r>
      <w:proofErr w:type="spellStart"/>
      <w:r>
        <w:t>комплаенса</w:t>
      </w:r>
      <w:proofErr w:type="spellEnd"/>
      <w:r>
        <w:t xml:space="preserve">, предусмотренных </w:t>
      </w:r>
      <w:hyperlink r:id="rId1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r:id="rId13" w:history="1">
        <w:r>
          <w:rPr>
            <w:color w:val="0000FF"/>
          </w:rPr>
          <w:t>"в" пункта 15</w:t>
        </w:r>
      </w:hyperlink>
      <w:r>
        <w:t xml:space="preserve"> Методических рекомендаций.</w:t>
      </w:r>
    </w:p>
    <w:p w:rsidR="00407517" w:rsidRDefault="00407517">
      <w:pPr>
        <w:pStyle w:val="ConsPlusNormal"/>
        <w:spacing w:before="220"/>
        <w:ind w:firstLine="540"/>
        <w:jc w:val="both"/>
      </w:pPr>
      <w:proofErr w:type="gramStart"/>
      <w:r>
        <w:t>При эффективном проведении мероприятий по анализу нормативных правовых актов федерального органа исполнительной власти 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федерального органа исполнительной власти,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  <w:r>
        <w:t xml:space="preserve"> Таким образом, значение КПЭ будет тем выше, чем эффективней данные мероприятия антимонопольного </w:t>
      </w:r>
      <w:proofErr w:type="spellStart"/>
      <w:r>
        <w:t>комплаенса</w:t>
      </w:r>
      <w:proofErr w:type="spellEnd"/>
      <w:r>
        <w:t xml:space="preserve"> будут осуществляться уполномоченным подразделением (должностным лицом). </w:t>
      </w:r>
      <w:proofErr w:type="gramStart"/>
      <w:r>
        <w:t>И</w:t>
      </w:r>
      <w:proofErr w:type="gramEnd"/>
      <w:r>
        <w:t xml:space="preserve">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11. Оценка значения КПЭ "сотрудников федерального органа исполнительной власти,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".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Консультирование и обучение служащих федерального органа исполнительной власти по </w:t>
      </w:r>
      <w:r>
        <w:lastRenderedPageBreak/>
        <w:t xml:space="preserve">вопросам, связанным с соблюдением антимонопольного законодательства и антимонопольным </w:t>
      </w:r>
      <w:proofErr w:type="spellStart"/>
      <w:r>
        <w:t>комплаенсом</w:t>
      </w:r>
      <w:proofErr w:type="spellEnd"/>
      <w:r>
        <w:t xml:space="preserve">, отнесено к компетенции уполномоченного подразделения (должностного лица) согласно </w:t>
      </w:r>
      <w:hyperlink r:id="rId14" w:history="1">
        <w:r>
          <w:rPr>
            <w:color w:val="0000FF"/>
          </w:rPr>
          <w:t>подпункту "г" пункта 11</w:t>
        </w:r>
      </w:hyperlink>
      <w:r>
        <w:t xml:space="preserve"> Методических рекомендаций, и направлено на профилактику нарушений требований антимонопольного законодательства в деятельности федерального органа исполнительной власти. В том числе от эффективности работы уполномоченного подразделения (должностного лица) по данному направлению напрямую зависит возможность достижения целей Национального плана, предусмотренных </w:t>
      </w:r>
      <w:hyperlink r:id="rId15" w:history="1">
        <w:r>
          <w:rPr>
            <w:color w:val="0000FF"/>
          </w:rPr>
          <w:t>подпунктом "б" пункта 1</w:t>
        </w:r>
      </w:hyperlink>
      <w:r>
        <w:t xml:space="preserve"> Национального плана.</w:t>
      </w:r>
    </w:p>
    <w:p w:rsidR="00407517" w:rsidRDefault="00407517">
      <w:pPr>
        <w:pStyle w:val="ConsPlusNormal"/>
        <w:spacing w:before="220"/>
        <w:ind w:firstLine="540"/>
        <w:jc w:val="both"/>
      </w:pPr>
      <w:r>
        <w:t xml:space="preserve">Расчет данного показателя предусматривает определение сотрудников федерального органа исполнительной власти,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 xml:space="preserve">. Высокое значение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 xml:space="preserve"> (числитель), обеспечивает высокое значение КПЭ.</w:t>
      </w: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jc w:val="both"/>
      </w:pPr>
    </w:p>
    <w:p w:rsidR="00407517" w:rsidRDefault="004075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F65" w:rsidRDefault="009F2F65"/>
    <w:sectPr w:rsidR="009F2F65" w:rsidSect="00C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7517"/>
    <w:rsid w:val="000D49E5"/>
    <w:rsid w:val="00407517"/>
    <w:rsid w:val="009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7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consultantplus://offline/ref=54FDA97EAFE40151E694C1F4E83FA629210F137742218E79C5DB6C6BCC011E8AD5001CAB74D32FA2D4A51E872AEE51148DAED51983E2FD79vBxA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54FDA97EAFE40151E694C1F4E83FA629210F137742218E79C5DB6C6BCC011E8AD5001CAB74D32FA2D7A51E872AEE51148DAED51983E2FD79vBxA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54FDA97EAFE40151E694C1F4E83FA62920071F7343238E79C5DB6C6BCC011E8AD5001CAB74D32FA0D1A51E872AEE51148DAED51983E2FD79vBxAJ" TargetMode="External"/><Relationship Id="rId5" Type="http://schemas.openxmlformats.org/officeDocument/2006/relationships/hyperlink" Target="consultantplus://offline/ref=54FDA97EAFE40151E694C1F4E83FA629210F137742218E79C5DB6C6BCC011E8AD5001CAB74D32EA5D3A51E872AEE51148DAED51983E2FD79vBxAJ" TargetMode="External"/><Relationship Id="rId15" Type="http://schemas.openxmlformats.org/officeDocument/2006/relationships/hyperlink" Target="consultantplus://offline/ref=54FDA97EAFE40151E694C1F4E83FA62920071F7343238E79C5DB6C6BCC011E8AD5001CAB74D32FA3D6A51E872AEE51148DAED51983E2FD79vBxAJ" TargetMode="External"/><Relationship Id="rId10" Type="http://schemas.openxmlformats.org/officeDocument/2006/relationships/hyperlink" Target="consultantplus://offline/ref=54FDA97EAFE40151E694C1F4E83FA62920071F7343238E79C5DB6C6BCC011E8AD5001CAB74D32FA3D6A51E872AEE51148DAED51983E2FD79vBxAJ" TargetMode="External"/><Relationship Id="rId4" Type="http://schemas.openxmlformats.org/officeDocument/2006/relationships/hyperlink" Target="consultantplus://offline/ref=54FDA97EAFE40151E694C1F4E83FA629210F137742218E79C5DB6C6BCC011E8AD5001CAB74D32EA5D3A51E872AEE51148DAED51983E2FD79vBxAJ" TargetMode="External"/><Relationship Id="rId9" Type="http://schemas.openxmlformats.org/officeDocument/2006/relationships/image" Target="media/image4.wmf"/><Relationship Id="rId14" Type="http://schemas.openxmlformats.org/officeDocument/2006/relationships/hyperlink" Target="consultantplus://offline/ref=54FDA97EAFE40151E694C1F4E83FA629210F137742218E79C5DB6C6BCC011E8AD5001CAB74D32FA0D0A51E872AEE51148DAED51983E2FD79vB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10748</Characters>
  <Application>Microsoft Office Word</Application>
  <DocSecurity>0</DocSecurity>
  <Lines>89</Lines>
  <Paragraphs>25</Paragraphs>
  <ScaleCrop>false</ScaleCrop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2020-02-12T09:49:00Z</dcterms:created>
  <dcterms:modified xsi:type="dcterms:W3CDTF">2020-02-12T09:50:00Z</dcterms:modified>
</cp:coreProperties>
</file>